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80EDE17">
      <w:pPr>
        <w:pStyle w:val="2"/>
        <w:spacing w:line="560" w:lineRule="exact"/>
        <w:ind w:left="311"/>
        <w:jc w:val="center"/>
        <w:rPr>
          <w:rFonts w:ascii="方正小标宋简体" w:hAnsi="方正小标宋简体" w:eastAsia="方正小标宋简体" w:cs="方正小标宋简体"/>
          <w:color w:val="auto"/>
          <w:sz w:val="36"/>
          <w:szCs w:val="36"/>
          <w:lang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pacing w:val="-58"/>
          <w:sz w:val="36"/>
          <w:szCs w:val="36"/>
          <w:lang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auto"/>
          <w:spacing w:val="-3"/>
          <w:sz w:val="36"/>
          <w:szCs w:val="36"/>
          <w:lang w:eastAsia="zh-CN"/>
        </w:rPr>
        <w:t>202</w:t>
      </w:r>
      <w:r>
        <w:rPr>
          <w:rFonts w:hint="eastAsia" w:ascii="方正小标宋简体" w:hAnsi="方正小标宋简体" w:eastAsia="方正小标宋简体" w:cs="方正小标宋简体"/>
          <w:color w:val="auto"/>
          <w:spacing w:val="-3"/>
          <w:sz w:val="36"/>
          <w:szCs w:val="36"/>
          <w:lang w:val="en-US" w:eastAsia="zh-CN"/>
        </w:rPr>
        <w:t>7</w:t>
      </w:r>
      <w:r>
        <w:rPr>
          <w:rFonts w:hint="eastAsia" w:ascii="方正小标宋简体" w:hAnsi="方正小标宋简体" w:eastAsia="方正小标宋简体" w:cs="方正小标宋简体"/>
          <w:color w:val="auto"/>
          <w:spacing w:val="-57"/>
          <w:sz w:val="36"/>
          <w:szCs w:val="36"/>
          <w:lang w:eastAsia="zh-CN"/>
        </w:rPr>
        <w:t xml:space="preserve"> </w:t>
      </w:r>
      <w:r>
        <w:rPr>
          <w:rFonts w:hint="eastAsia" w:ascii="方正小标宋简体" w:hAnsi="方正小标宋简体" w:eastAsia="方正小标宋简体" w:cs="方正小标宋简体"/>
          <w:color w:val="auto"/>
          <w:spacing w:val="-3"/>
          <w:sz w:val="36"/>
          <w:szCs w:val="36"/>
          <w:lang w:eastAsia="zh-CN"/>
        </w:rPr>
        <w:t>年硕士研究生招生考试自命题</w:t>
      </w:r>
      <w:r>
        <w:rPr>
          <w:rFonts w:hint="eastAsia" w:ascii="方正小标宋简体" w:hAnsi="方正小标宋简体" w:eastAsia="方正小标宋简体" w:cs="方正小标宋简体"/>
          <w:color w:val="auto"/>
          <w:spacing w:val="-4"/>
          <w:sz w:val="36"/>
          <w:szCs w:val="36"/>
          <w:lang w:eastAsia="zh-CN"/>
        </w:rPr>
        <w:t>科目考试大纲</w:t>
      </w:r>
    </w:p>
    <w:p w14:paraId="51600231">
      <w:pPr>
        <w:pStyle w:val="2"/>
        <w:spacing w:line="560" w:lineRule="exact"/>
        <w:ind w:firstLine="552" w:firstLineChars="200"/>
        <w:rPr>
          <w:rFonts w:ascii="方正小标宋简体" w:hAnsi="方正小标宋简体" w:eastAsia="方正小标宋简体" w:cs="方正小标宋简体"/>
          <w:color w:val="auto"/>
          <w:spacing w:val="-2"/>
          <w:sz w:val="28"/>
          <w:szCs w:val="28"/>
          <w:lang w:eastAsia="zh-CN"/>
        </w:rPr>
      </w:pPr>
    </w:p>
    <w:p w14:paraId="3BB4E96C">
      <w:pPr>
        <w:pStyle w:val="2"/>
        <w:spacing w:line="560" w:lineRule="exact"/>
        <w:ind w:firstLine="632" w:firstLineChars="200"/>
        <w:rPr>
          <w:rFonts w:hint="default" w:ascii="黑体" w:hAnsi="黑体" w:eastAsia="黑体" w:cs="方正小标宋简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方正小标宋简体"/>
          <w:color w:val="auto"/>
          <w:spacing w:val="-2"/>
          <w:sz w:val="32"/>
          <w:szCs w:val="32"/>
          <w:lang w:eastAsia="zh-CN"/>
        </w:rPr>
        <w:t>考试科目：</w:t>
      </w:r>
      <w:r>
        <w:rPr>
          <w:rFonts w:hint="eastAsia" w:ascii="黑体" w:hAnsi="黑体" w:eastAsia="黑体" w:cs="方正小标宋简体"/>
          <w:color w:val="auto"/>
          <w:spacing w:val="-2"/>
          <w:sz w:val="32"/>
          <w:szCs w:val="32"/>
          <w:lang w:val="en-US" w:eastAsia="zh-CN"/>
        </w:rPr>
        <w:t>445</w:t>
      </w:r>
      <w:r>
        <w:rPr>
          <w:rFonts w:hint="eastAsia" w:ascii="黑体" w:hAnsi="黑体" w:eastAsia="黑体" w:cs="方正小标宋简体"/>
          <w:color w:val="auto"/>
          <w:spacing w:val="-2"/>
          <w:sz w:val="32"/>
          <w:szCs w:val="32"/>
          <w:lang w:eastAsia="zh-CN"/>
        </w:rPr>
        <w:t>汉语</w:t>
      </w:r>
      <w:r>
        <w:rPr>
          <w:rFonts w:hint="eastAsia" w:ascii="黑体" w:hAnsi="黑体" w:eastAsia="黑体" w:cs="方正小标宋简体"/>
          <w:color w:val="auto"/>
          <w:spacing w:val="-2"/>
          <w:sz w:val="32"/>
          <w:szCs w:val="32"/>
          <w:lang w:val="en-US" w:eastAsia="zh-CN"/>
        </w:rPr>
        <w:t>国际教育基础</w:t>
      </w:r>
    </w:p>
    <w:p w14:paraId="34424777">
      <w:pPr>
        <w:pStyle w:val="2"/>
        <w:spacing w:line="560" w:lineRule="exact"/>
        <w:ind w:firstLine="628" w:firstLineChars="200"/>
        <w:rPr>
          <w:rFonts w:hint="default" w:ascii="黑体" w:hAnsi="黑体" w:eastAsia="黑体" w:cs="方正小标宋简体"/>
          <w:color w:val="auto"/>
          <w:sz w:val="32"/>
          <w:szCs w:val="32"/>
          <w:lang w:val="en-US" w:eastAsia="zh-CN"/>
        </w:rPr>
      </w:pPr>
      <w:r>
        <w:rPr>
          <w:rFonts w:hint="eastAsia" w:ascii="黑体" w:hAnsi="黑体" w:eastAsia="黑体" w:cs="方正小标宋简体"/>
          <w:color w:val="auto"/>
          <w:spacing w:val="-3"/>
          <w:sz w:val="32"/>
          <w:szCs w:val="32"/>
          <w:lang w:eastAsia="zh-CN"/>
        </w:rPr>
        <w:t>适用专业：</w:t>
      </w:r>
      <w:r>
        <w:rPr>
          <w:rFonts w:hint="eastAsia" w:ascii="黑体" w:hAnsi="黑体" w:eastAsia="黑体" w:cs="方正小标宋简体"/>
          <w:color w:val="auto"/>
          <w:spacing w:val="-3"/>
          <w:sz w:val="32"/>
          <w:szCs w:val="32"/>
          <w:lang w:val="en-US" w:eastAsia="zh-CN"/>
        </w:rPr>
        <w:t>国际中文教育</w:t>
      </w:r>
    </w:p>
    <w:p w14:paraId="53A9D5DC">
      <w:pPr>
        <w:spacing w:line="560" w:lineRule="exact"/>
        <w:rPr>
          <w:lang w:eastAsia="zh-CN"/>
        </w:rPr>
      </w:pPr>
    </w:p>
    <w:p w14:paraId="6E31F70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textAlignment w:val="baseline"/>
        <w:rPr>
          <w:rFonts w:ascii="黑体" w:hAnsi="黑体" w:eastAsia="黑体" w:cs="仿宋_GB2312"/>
          <w:bCs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bCs/>
          <w:spacing w:val="7"/>
          <w:sz w:val="32"/>
          <w:szCs w:val="32"/>
          <w:lang w:eastAsia="zh-CN"/>
        </w:rPr>
        <w:t>一、考试要求</w:t>
      </w:r>
    </w:p>
    <w:p w14:paraId="0F9CB208">
      <w:pPr>
        <w:keepNext w:val="0"/>
        <w:keepLines w:val="0"/>
        <w:pageBreakBefore w:val="0"/>
        <w:widowControl w:val="0"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40" w:lineRule="exact"/>
        <w:ind w:left="0" w:right="0" w:firstLine="640" w:firstLineChars="200"/>
        <w:jc w:val="both"/>
        <w:textAlignment w:val="baseline"/>
        <w:rPr>
          <w:rFonts w:hint="eastAsia" w:ascii="仿宋_GB2312" w:hAnsi="仿宋_GB2312" w:eastAsia="仿宋_GB2312" w:cs="仿宋_GB2312"/>
          <w:color w:val="auto"/>
          <w:spacing w:val="8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napToGrid w:val="0"/>
          <w:color w:val="000000"/>
          <w:kern w:val="2"/>
          <w:sz w:val="32"/>
          <w:szCs w:val="32"/>
          <w:shd w:val="clear" w:fill="FFFFFF"/>
          <w:lang w:val="en-US" w:eastAsia="zh-CN" w:bidi="ar"/>
        </w:rPr>
        <w:t>本科目主要考查考生对中外文化、语言教学及教育心理学的综合理解与应用能力。要求考生掌握中华人文精神的核心命题与文化脉络，熟悉中国历史、哲学、艺术等知识体系；理解第二语言习得的关键理论，包括学习者策略、中介语发展及习得过程分析；熟悉教育心理学中学习动机、课堂互动、教学评价等理论框架；能运用语言教学原理，分析教学法选择、教材编写及测试设计等实际问题。考试注重跨文化交际能力与教学实践结合，要求考生具备逻辑分析与书面表达能力。</w:t>
      </w:r>
    </w:p>
    <w:p w14:paraId="2C3BCF3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textAlignment w:val="baseline"/>
        <w:rPr>
          <w:rFonts w:ascii="黑体" w:hAnsi="黑体" w:eastAsia="黑体" w:cs="仿宋_GB2312"/>
          <w:bCs/>
          <w:spacing w:val="7"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bCs/>
          <w:spacing w:val="7"/>
          <w:sz w:val="32"/>
          <w:szCs w:val="32"/>
          <w:lang w:eastAsia="zh-CN"/>
        </w:rPr>
        <w:t>二、考试形式</w:t>
      </w:r>
    </w:p>
    <w:p w14:paraId="0DFAA65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textAlignment w:val="baseline"/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（一）主要题型包括：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填空题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选择题、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eastAsia="zh-CN"/>
        </w:rPr>
        <w:t>简答题、</w:t>
      </w:r>
      <w:r>
        <w:rPr>
          <w:rFonts w:hint="eastAsia" w:ascii="仿宋_GB2312" w:hAnsi="仿宋_GB2312" w:eastAsia="仿宋_GB2312" w:cs="仿宋_GB2312"/>
          <w:spacing w:val="8"/>
          <w:sz w:val="32"/>
          <w:szCs w:val="32"/>
          <w:lang w:val="en-US" w:eastAsia="zh-CN"/>
        </w:rPr>
        <w:t>名词解释题、案例分析与写作题。</w:t>
      </w:r>
    </w:p>
    <w:p w14:paraId="1433FB4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textAlignment w:val="baseline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eastAsia="zh-CN"/>
        </w:rPr>
        <w:t>（二）考试形式为闭卷、笔试。</w:t>
      </w:r>
    </w:p>
    <w:p w14:paraId="414E2B0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textAlignment w:val="baseline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4"/>
          <w:sz w:val="32"/>
          <w:szCs w:val="32"/>
          <w:lang w:eastAsia="zh-CN"/>
        </w:rPr>
        <w:t>（三）考试时间为3小时。</w:t>
      </w:r>
    </w:p>
    <w:p w14:paraId="7F63A31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textAlignment w:val="baseline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（四）满分150分。</w:t>
      </w:r>
    </w:p>
    <w:p w14:paraId="2B40D06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textAlignment w:val="baseline"/>
        <w:rPr>
          <w:rFonts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eastAsia="zh-CN"/>
        </w:rPr>
        <w:t>（五）试卷题型结构：</w:t>
      </w:r>
    </w:p>
    <w:p w14:paraId="34EDE9A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457"/>
        <w:textAlignment w:val="baseline"/>
        <w:rPr>
          <w:rFonts w:hint="default" w:ascii="仿宋_GB2312" w:hAnsi="仿宋_GB2312" w:eastAsia="仿宋_GB2312" w:cs="仿宋_GB2312"/>
          <w:spacing w:val="2"/>
          <w:sz w:val="21"/>
          <w:szCs w:val="21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1.中外文化及跨文化交际基础知识（共80分）</w:t>
      </w:r>
    </w:p>
    <w:p w14:paraId="37EA1BE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324" w:firstLineChars="100"/>
        <w:textAlignment w:val="baseline"/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（1）填空题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eastAsia="zh-CN"/>
        </w:rPr>
        <w:t>分</w:t>
      </w:r>
      <w:r>
        <w:rPr>
          <w:rFonts w:hint="eastAsia" w:ascii="仿宋_GB2312" w:hAnsi="仿宋_GB2312" w:eastAsia="仿宋_GB2312" w:cs="仿宋_GB2312"/>
          <w:spacing w:val="-34"/>
          <w:sz w:val="32"/>
          <w:szCs w:val="32"/>
          <w:lang w:eastAsia="zh-CN"/>
        </w:rPr>
        <w:t>），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eastAsia="zh-CN"/>
        </w:rPr>
        <w:t>共</w:t>
      </w:r>
      <w:r>
        <w:rPr>
          <w:rFonts w:hint="eastAsia" w:ascii="仿宋_GB2312" w:hAnsi="仿宋_GB2312" w:eastAsia="仿宋_GB2312" w:cs="仿宋_GB2312"/>
          <w:spacing w:val="-34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eastAsia="zh-CN"/>
        </w:rPr>
        <w:t>题；</w:t>
      </w:r>
    </w:p>
    <w:p w14:paraId="4D1DFAB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324" w:firstLineChars="100"/>
        <w:textAlignment w:val="baseline"/>
        <w:rPr>
          <w:rFonts w:hint="eastAsia" w:ascii="仿宋_GB2312" w:hAnsi="仿宋_GB2312" w:eastAsia="仿宋_GB2312" w:cs="仿宋_GB2312"/>
          <w:spacing w:val="3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（2）选择题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val="en-US" w:eastAsia="zh-CN"/>
        </w:rPr>
        <w:t>20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eastAsia="zh-CN"/>
        </w:rPr>
        <w:t>分</w:t>
      </w:r>
      <w:r>
        <w:rPr>
          <w:rFonts w:hint="eastAsia" w:ascii="仿宋_GB2312" w:hAnsi="仿宋_GB2312" w:eastAsia="仿宋_GB2312" w:cs="仿宋_GB2312"/>
          <w:spacing w:val="-34"/>
          <w:sz w:val="32"/>
          <w:szCs w:val="32"/>
          <w:lang w:eastAsia="zh-CN"/>
        </w:rPr>
        <w:t>），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eastAsia="zh-CN"/>
        </w:rPr>
        <w:t>共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eastAsia="zh-CN"/>
        </w:rPr>
        <w:t>题；</w:t>
      </w:r>
    </w:p>
    <w:p w14:paraId="3B1AB061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326" w:firstLineChars="100"/>
        <w:textAlignment w:val="baseline"/>
        <w:rPr>
          <w:rFonts w:hint="eastAsia" w:ascii="仿宋_GB2312" w:hAnsi="仿宋_GB2312" w:eastAsia="仿宋_GB2312" w:cs="仿宋_GB2312"/>
          <w:spacing w:val="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eastAsia="zh-CN"/>
        </w:rPr>
        <w:t>）简答题（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val="en-US" w:eastAsia="zh-CN"/>
        </w:rPr>
        <w:t>40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eastAsia="zh-CN"/>
        </w:rPr>
        <w:t>分）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val="en-US" w:eastAsia="zh-CN"/>
        </w:rPr>
        <w:t>，共5题；</w:t>
      </w:r>
    </w:p>
    <w:p w14:paraId="7B1D610D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457"/>
        <w:textAlignment w:val="baseline"/>
        <w:rPr>
          <w:rFonts w:hint="default" w:ascii="仿宋_GB2312" w:hAnsi="仿宋_GB2312" w:eastAsia="仿宋_GB2312" w:cs="仿宋_GB2312"/>
          <w:spacing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2.教育学、心理学及语言教学基础知识（共30分）</w:t>
      </w:r>
    </w:p>
    <w:p w14:paraId="16F723C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324" w:firstLineChars="100"/>
        <w:textAlignment w:val="baseline"/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（4）填空题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分</w:t>
      </w:r>
      <w:r>
        <w:rPr>
          <w:rFonts w:hint="eastAsia" w:ascii="仿宋_GB2312" w:hAnsi="仿宋_GB2312" w:eastAsia="仿宋_GB2312" w:cs="仿宋_GB2312"/>
          <w:spacing w:val="-34"/>
          <w:sz w:val="32"/>
          <w:szCs w:val="32"/>
          <w:lang w:eastAsia="zh-CN"/>
        </w:rPr>
        <w:t>），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共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eastAsia="zh-CN"/>
        </w:rPr>
        <w:t>题；</w:t>
      </w:r>
    </w:p>
    <w:p w14:paraId="2B616FC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324" w:firstLineChars="100"/>
        <w:textAlignment w:val="baseline"/>
        <w:rPr>
          <w:rFonts w:hint="eastAsia" w:ascii="仿宋_GB2312" w:hAnsi="仿宋_GB2312" w:eastAsia="仿宋_GB2312" w:cs="仿宋_GB2312"/>
          <w:spacing w:val="3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2"/>
          <w:sz w:val="32"/>
          <w:szCs w:val="32"/>
          <w:lang w:val="en-US" w:eastAsia="zh-CN"/>
        </w:rPr>
        <w:t>（5）选择题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eastAsia="zh-CN"/>
        </w:rPr>
        <w:t>分</w:t>
      </w:r>
      <w:r>
        <w:rPr>
          <w:rFonts w:hint="eastAsia" w:ascii="仿宋_GB2312" w:hAnsi="仿宋_GB2312" w:eastAsia="仿宋_GB2312" w:cs="仿宋_GB2312"/>
          <w:spacing w:val="-34"/>
          <w:sz w:val="32"/>
          <w:szCs w:val="32"/>
          <w:lang w:eastAsia="zh-CN"/>
        </w:rPr>
        <w:t>），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eastAsia="zh-CN"/>
        </w:rPr>
        <w:t>共</w:t>
      </w:r>
      <w:r>
        <w:rPr>
          <w:rFonts w:hint="eastAsia" w:ascii="仿宋_GB2312" w:hAnsi="仿宋_GB2312" w:eastAsia="仿宋_GB2312" w:cs="仿宋_GB2312"/>
          <w:spacing w:val="-34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eastAsia="zh-CN"/>
        </w:rPr>
        <w:t>题；</w:t>
      </w:r>
    </w:p>
    <w:p w14:paraId="3946EE3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326" w:firstLineChars="100"/>
        <w:textAlignment w:val="baseline"/>
        <w:rPr>
          <w:rFonts w:hint="default" w:ascii="仿宋_GB2312" w:hAnsi="仿宋_GB2312" w:eastAsia="仿宋_GB2312" w:cs="仿宋_GB2312"/>
          <w:spacing w:val="3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eastAsia="zh-CN"/>
        </w:rPr>
        <w:t>）名词解释（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val="en-US" w:eastAsia="zh-CN"/>
        </w:rPr>
        <w:t>10分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eastAsia="zh-CN"/>
        </w:rPr>
        <w:t>），共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val="en-US" w:eastAsia="zh-CN"/>
        </w:rPr>
        <w:t>2题；</w:t>
      </w:r>
    </w:p>
    <w:p w14:paraId="39616F8B">
      <w:pPr>
        <w:pStyle w:val="2"/>
        <w:spacing w:line="560" w:lineRule="exact"/>
        <w:ind w:firstLine="324" w:firstLineChars="100"/>
        <w:rPr>
          <w:rFonts w:hint="default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  <w:t>3.案例分析与写作部分</w:t>
      </w:r>
    </w:p>
    <w:p w14:paraId="6B37D94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326" w:firstLineChars="100"/>
        <w:textAlignment w:val="baseline"/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pacing w:val="3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  <w:t>根据材料写1500字以上的议论文（40分），共1题。</w:t>
      </w:r>
    </w:p>
    <w:p w14:paraId="1BB3143A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334" w:firstLineChars="100"/>
        <w:textAlignment w:val="baseline"/>
        <w:rPr>
          <w:rFonts w:ascii="黑体" w:hAnsi="黑体" w:eastAsia="黑体" w:cs="仿宋_GB2312"/>
          <w:bCs/>
          <w:spacing w:val="7"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bCs/>
          <w:spacing w:val="7"/>
          <w:sz w:val="32"/>
          <w:szCs w:val="32"/>
          <w:lang w:eastAsia="zh-CN"/>
        </w:rPr>
        <w:t>三、考试内容</w:t>
      </w:r>
    </w:p>
    <w:p w14:paraId="25A3465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textAlignment w:val="baseline"/>
        <w:rPr>
          <w:rFonts w:hint="eastAsia" w:ascii="仿宋_GB2312" w:hAnsi="仿宋_GB2312" w:eastAsia="仿宋_GB2312" w:cs="仿宋_GB2312"/>
          <w:b/>
          <w:bCs/>
          <w:spacing w:val="7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7"/>
          <w:sz w:val="32"/>
          <w:szCs w:val="32"/>
          <w:lang w:eastAsia="zh-CN"/>
        </w:rPr>
        <w:t>（一）</w:t>
      </w:r>
      <w:r>
        <w:rPr>
          <w:rFonts w:hint="eastAsia" w:ascii="仿宋_GB2312" w:hAnsi="仿宋_GB2312" w:eastAsia="仿宋_GB2312" w:cs="仿宋_GB2312"/>
          <w:b/>
          <w:bCs/>
          <w:spacing w:val="2"/>
          <w:sz w:val="32"/>
          <w:szCs w:val="32"/>
          <w:lang w:val="en-US" w:eastAsia="zh-CN"/>
        </w:rPr>
        <w:t>中外文化及跨文化交际基础知识</w:t>
      </w:r>
    </w:p>
    <w:p w14:paraId="20DFC909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334" w:firstLineChars="100"/>
        <w:textAlignment w:val="baseline"/>
        <w:rPr>
          <w:rFonts w:hint="eastAsia" w:ascii="仿宋_GB2312" w:hAnsi="仿宋_GB2312" w:eastAsia="仿宋_GB2312" w:cs="仿宋_GB2312"/>
          <w:spacing w:val="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7"/>
          <w:sz w:val="32"/>
          <w:szCs w:val="32"/>
          <w:lang w:val="en-US" w:eastAsia="zh-CN"/>
        </w:rPr>
        <w:t>1.中国文化基础知识</w:t>
      </w:r>
    </w:p>
    <w:p w14:paraId="1B0712E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40" w:lineRule="exact"/>
        <w:ind w:left="-360" w:leftChars="0" w:right="0" w:rightChars="0" w:firstLine="668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7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7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pacing w:val="7"/>
          <w:sz w:val="32"/>
          <w:szCs w:val="32"/>
          <w:lang w:val="en-US" w:eastAsia="zh-CN"/>
        </w:rPr>
        <w:t>1</w:t>
      </w:r>
      <w:r>
        <w:rPr>
          <w:rFonts w:hint="eastAsia" w:ascii="仿宋_GB2312" w:hAnsi="仿宋_GB2312" w:eastAsia="仿宋_GB2312" w:cs="仿宋_GB2312"/>
          <w:b w:val="0"/>
          <w:bCs w:val="0"/>
          <w:spacing w:val="7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shd w:val="clear" w:fill="FFFFFF"/>
          <w:lang w:val="en-US" w:eastAsia="zh-CN" w:bidi="ar"/>
        </w:rPr>
        <w:t>文化结构与核心命题：理解中华文化“天人合一”“以人为本”“和而不同”等核心命题的内涵，分析其在哲学、伦理、艺术中的体现。掌握文化结构的四层体系及其互动关系。</w:t>
      </w:r>
    </w:p>
    <w:p w14:paraId="51E49C7F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40" w:lineRule="exact"/>
        <w:ind w:left="-360" w:leftChars="0" w:right="0" w:rightChars="0" w:firstLine="668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7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7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pacing w:val="7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b w:val="0"/>
          <w:bCs w:val="0"/>
          <w:spacing w:val="7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shd w:val="clear" w:fill="FFFFFF"/>
          <w:lang w:val="en-US" w:eastAsia="zh-CN" w:bidi="ar"/>
        </w:rPr>
        <w:t>历史脉络与思想流变：梳理从先秦到近现代的关键历史节点及思想演变主线。重点分析儒家“仁礼”思想、道家“无为”哲学、法家“法治”观念的核心主张，以及佛教本土化、宋明理学等思想融合现象。</w:t>
      </w:r>
    </w:p>
    <w:p w14:paraId="40EDA6F8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40" w:lineRule="exact"/>
        <w:ind w:left="-360" w:leftChars="0" w:right="0" w:rightChars="0" w:firstLine="668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7"/>
          <w:sz w:val="32"/>
          <w:szCs w:val="32"/>
          <w:lang w:eastAsia="zh-CN"/>
        </w:rPr>
        <w:t>（</w:t>
      </w:r>
      <w:r>
        <w:rPr>
          <w:rFonts w:hint="eastAsia" w:ascii="仿宋_GB2312" w:hAnsi="仿宋_GB2312" w:eastAsia="仿宋_GB2312" w:cs="仿宋_GB2312"/>
          <w:b w:val="0"/>
          <w:bCs w:val="0"/>
          <w:spacing w:val="7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b w:val="0"/>
          <w:bCs w:val="0"/>
          <w:spacing w:val="7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shd w:val="clear" w:fill="FFFFFF"/>
          <w:lang w:val="en-US" w:eastAsia="zh-CN" w:bidi="ar"/>
        </w:rPr>
        <w:t>传统艺术与科技成就：考查书法、绘画、戏曲、建筑等艺术形式的审美特征与文化象征，例如书法中“笔墨意趣”与文人精神的关系，京剧“程式化”表演的符号意义。同时涉及四大发明、天文历法、中医理论等科技成就的历史地位及国际传播影响。</w:t>
      </w:r>
    </w:p>
    <w:p w14:paraId="62527FF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40" w:lineRule="exact"/>
        <w:ind w:left="-360" w:leftChars="0" w:right="0" w:rightChars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shd w:val="clear" w:fill="FFFFFF"/>
          <w:lang w:val="en-US" w:eastAsia="zh-CN" w:bidi="ar"/>
        </w:rPr>
        <w:t>（4）社会习俗与文化符号：掌握中国姓氏与名、字、号的起源与功能，分析传统节日的习俗内涵及文化象征。理解传统建筑的布局原则与哲学思想，以及传统服饰的符号意义。</w:t>
      </w:r>
    </w:p>
    <w:p w14:paraId="49CE2A23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40" w:lineRule="exact"/>
        <w:ind w:left="-360" w:leftChars="0" w:right="0" w:rightChars="0" w:firstLine="640" w:firstLineChars="200"/>
        <w:jc w:val="left"/>
        <w:textAlignment w:val="baseline"/>
        <w:rPr>
          <w:rFonts w:hint="default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shd w:val="clear" w:fill="FFFFFF"/>
          <w:lang w:val="en-US" w:eastAsia="zh-CN" w:bidi="ar"/>
        </w:rPr>
        <w:t>（5）中国地理概况与区划沿革：掌握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  <w:t>中国历代疆域，中国古代行政区划沿革，现行省、市、自治区名称的由来，黄河、长江与中国文明。</w:t>
      </w:r>
    </w:p>
    <w:p w14:paraId="6EA566C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40" w:lineRule="exact"/>
        <w:ind w:left="-360" w:leftChars="0" w:right="0" w:rightChars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shd w:val="clear" w:fill="FFFFFF"/>
          <w:lang w:val="en-US" w:eastAsia="zh-CN" w:bidi="ar"/>
        </w:rPr>
        <w:t>2.外国文化基础知识</w:t>
      </w:r>
    </w:p>
    <w:p w14:paraId="15955182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40" w:lineRule="exact"/>
        <w:ind w:left="-360" w:leftChars="0" w:right="0" w:rightChars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bCs/>
          <w:snapToGrid w:val="0"/>
          <w:color w:val="00000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color w:val="0D0D0D"/>
          <w:sz w:val="32"/>
          <w:szCs w:val="32"/>
          <w:lang w:val="en-US" w:eastAsia="zh-CN" w:bidi="ar"/>
        </w:rPr>
        <w:t>外国</w:t>
      </w:r>
      <w:r>
        <w:rPr>
          <w:rFonts w:hint="eastAsia" w:ascii="仿宋_GB2312" w:hAnsi="仿宋_GB2312" w:eastAsia="仿宋_GB2312" w:cs="仿宋_GB2312"/>
          <w:b w:val="0"/>
          <w:bCs/>
          <w:snapToGrid w:val="0"/>
          <w:color w:val="000000"/>
          <w:kern w:val="0"/>
          <w:sz w:val="32"/>
          <w:szCs w:val="32"/>
          <w:shd w:val="clear" w:fill="FFFFFF"/>
          <w:lang w:val="en-US" w:eastAsia="zh-CN" w:bidi="ar"/>
        </w:rPr>
        <w:t>文化发展脉络、文学与艺术成就、哲学与宗教思想以及社会习俗与价值观等。</w:t>
      </w:r>
    </w:p>
    <w:p w14:paraId="06C90671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40" w:lineRule="exact"/>
        <w:ind w:right="0" w:rightChars="0" w:firstLine="320" w:firstLineChars="100"/>
        <w:jc w:val="left"/>
        <w:textAlignment w:val="baseline"/>
        <w:rPr>
          <w:rFonts w:hint="eastAsia" w:ascii="仿宋_GB2312" w:hAnsi="仿宋_GB2312" w:eastAsia="仿宋_GB2312" w:cs="仿宋_GB2312"/>
          <w:b w:val="0"/>
          <w:bCs/>
          <w:color w:val="0D0D0D"/>
          <w:kern w:val="0"/>
          <w:sz w:val="32"/>
          <w:szCs w:val="32"/>
          <w:shd w:val="clear" w:fill="FFFFFF"/>
          <w:lang w:val="en-US"/>
        </w:rPr>
      </w:pPr>
      <w:r>
        <w:rPr>
          <w:rFonts w:hint="eastAsia" w:ascii="仿宋_GB2312" w:hAnsi="仿宋_GB2312" w:eastAsia="仿宋_GB2312" w:cs="仿宋_GB2312"/>
          <w:b w:val="0"/>
          <w:bCs/>
          <w:snapToGrid w:val="0"/>
          <w:color w:val="000000"/>
          <w:kern w:val="0"/>
          <w:sz w:val="32"/>
          <w:szCs w:val="32"/>
          <w:shd w:val="clear" w:fill="FFFFFF"/>
          <w:lang w:val="en-US" w:eastAsia="zh-CN" w:bidi="ar"/>
        </w:rPr>
        <w:t>3.跨文化交际基础知识</w:t>
      </w:r>
    </w:p>
    <w:p w14:paraId="0A26F01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40" w:lineRule="exact"/>
        <w:ind w:left="-360" w:leftChars="0" w:right="0" w:rightChars="0" w:firstLine="640" w:firstLineChars="200"/>
        <w:jc w:val="left"/>
        <w:textAlignment w:val="baseline"/>
        <w:outlineLvl w:val="9"/>
        <w:rPr>
          <w:rFonts w:hint="eastAsia" w:ascii="仿宋_GB2312" w:hAnsi="仿宋_GB2312" w:eastAsia="仿宋_GB2312" w:cs="仿宋_GB2312"/>
          <w:b w:val="0"/>
          <w:bCs/>
          <w:snapToGrid w:val="0"/>
          <w:color w:val="00000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snapToGrid w:val="0"/>
          <w:color w:val="000000"/>
          <w:kern w:val="0"/>
          <w:sz w:val="32"/>
          <w:szCs w:val="32"/>
          <w:shd w:val="clear" w:fill="FFFFFF"/>
          <w:lang w:val="en-US" w:eastAsia="zh-CN" w:bidi="ar"/>
        </w:rPr>
        <w:t>（1）跨文化交际理论：理解“文化冰山”“高语境/低语境”等理论模型，分析文化差异对交际效果的影响。掌握跨文化交际中的“文化适应”策略，如“文化共情”“第三方视角”的应用。</w:t>
      </w:r>
    </w:p>
    <w:p w14:paraId="2B1FDE8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40" w:lineRule="exact"/>
        <w:ind w:left="-420" w:leftChars="-200" w:right="0" w:rightChars="0" w:firstLine="320" w:firstLineChars="100"/>
        <w:jc w:val="left"/>
        <w:textAlignment w:val="baseline"/>
        <w:outlineLvl w:val="9"/>
        <w:rPr>
          <w:rFonts w:hint="eastAsia" w:ascii="仿宋_GB2312" w:hAnsi="仿宋_GB2312" w:eastAsia="仿宋_GB2312" w:cs="仿宋_GB2312"/>
          <w:b w:val="0"/>
          <w:bCs/>
          <w:snapToGrid w:val="0"/>
          <w:color w:val="00000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snapToGrid w:val="0"/>
          <w:color w:val="000000"/>
          <w:kern w:val="0"/>
          <w:sz w:val="32"/>
          <w:szCs w:val="32"/>
          <w:shd w:val="clear" w:fill="FFFFFF"/>
          <w:lang w:val="en-US" w:eastAsia="zh-CN" w:bidi="ar"/>
        </w:rPr>
        <w:t>（2）文化冲突与解决策略：结合具体交际场景，分析价值观、语言习惯等差异导致的冲突案例，提出文化适应或调解方法。</w:t>
      </w:r>
    </w:p>
    <w:p w14:paraId="721E11C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40" w:lineRule="exact"/>
        <w:ind w:left="-360" w:leftChars="0" w:right="0" w:rightChars="0" w:firstLine="640" w:firstLineChars="200"/>
        <w:jc w:val="left"/>
        <w:textAlignment w:val="baseline"/>
        <w:outlineLvl w:val="9"/>
        <w:rPr>
          <w:rFonts w:hint="eastAsia" w:ascii="仿宋_GB2312" w:hAnsi="仿宋_GB2312" w:eastAsia="仿宋_GB2312" w:cs="仿宋_GB2312"/>
          <w:b w:val="0"/>
          <w:bCs/>
          <w:color w:val="0D0D0D"/>
          <w:kern w:val="0"/>
          <w:sz w:val="32"/>
          <w:szCs w:val="32"/>
          <w:shd w:val="clear" w:fill="FFFFFF"/>
          <w:lang w:val="en-US"/>
        </w:rPr>
      </w:pPr>
      <w:r>
        <w:rPr>
          <w:rFonts w:hint="eastAsia" w:ascii="仿宋_GB2312" w:hAnsi="仿宋_GB2312" w:eastAsia="仿宋_GB2312" w:cs="仿宋_GB2312"/>
          <w:b w:val="0"/>
          <w:bCs/>
          <w:snapToGrid w:val="0"/>
          <w:color w:val="000000"/>
          <w:kern w:val="0"/>
          <w:sz w:val="32"/>
          <w:szCs w:val="32"/>
          <w:shd w:val="clear" w:fill="FFFFFF"/>
          <w:lang w:val="en-US" w:eastAsia="zh-CN" w:bidi="ar"/>
        </w:rPr>
        <w:t>（3）非语言交际行为：掌握肢体语言、空间距离、时间观念等非语言行为的文化差异，例如眼神接触在不同文化中的含义差异，分析其对交际效果的影响。</w:t>
      </w:r>
    </w:p>
    <w:p w14:paraId="0D2FB796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40" w:lineRule="exact"/>
        <w:ind w:left="-360" w:leftChars="0" w:right="0" w:rightChars="0" w:firstLine="640" w:firstLineChars="200"/>
        <w:jc w:val="left"/>
        <w:textAlignment w:val="baseline"/>
        <w:outlineLvl w:val="9"/>
        <w:rPr>
          <w:rFonts w:hint="eastAsia" w:ascii="仿宋_GB2312" w:hAnsi="仿宋_GB2312" w:eastAsia="仿宋_GB2312" w:cs="仿宋_GB2312"/>
          <w:b w:val="0"/>
          <w:bCs/>
          <w:color w:val="0D0D0D"/>
          <w:kern w:val="0"/>
          <w:sz w:val="32"/>
          <w:szCs w:val="32"/>
          <w:shd w:val="clear" w:fill="FFFFFF"/>
          <w:lang w:val="en-US"/>
        </w:rPr>
      </w:pPr>
      <w:r>
        <w:rPr>
          <w:rFonts w:hint="eastAsia" w:ascii="仿宋_GB2312" w:hAnsi="仿宋_GB2312" w:eastAsia="仿宋_GB2312" w:cs="仿宋_GB2312"/>
          <w:b w:val="0"/>
          <w:bCs/>
          <w:snapToGrid w:val="0"/>
          <w:color w:val="000000"/>
          <w:kern w:val="0"/>
          <w:sz w:val="32"/>
          <w:szCs w:val="32"/>
          <w:shd w:val="clear" w:fill="FFFFFF"/>
          <w:lang w:val="en-US" w:eastAsia="zh-CN" w:bidi="ar"/>
        </w:rPr>
        <w:t>（4）跨文化教学应用：结合汉语国际教育场景，分析如何设计文化导入活动，以及如何处理学习者因文化差异产生的偏误。</w:t>
      </w:r>
    </w:p>
    <w:p w14:paraId="4E1DA3D2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textAlignment w:val="baseline"/>
        <w:rPr>
          <w:rFonts w:hint="eastAsia" w:ascii="仿宋_GB2312" w:hAnsi="仿宋_GB2312" w:eastAsia="仿宋_GB2312" w:cs="仿宋_GB2312"/>
          <w:b/>
          <w:bCs/>
          <w:spacing w:val="7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7"/>
          <w:sz w:val="32"/>
          <w:szCs w:val="32"/>
          <w:lang w:eastAsia="zh-CN"/>
        </w:rPr>
        <w:t>（二）</w:t>
      </w:r>
      <w:r>
        <w:rPr>
          <w:rFonts w:hint="eastAsia" w:ascii="仿宋_GB2312" w:hAnsi="仿宋_GB2312" w:eastAsia="仿宋_GB2312" w:cs="仿宋_GB2312"/>
          <w:b/>
          <w:bCs/>
          <w:spacing w:val="2"/>
          <w:sz w:val="32"/>
          <w:szCs w:val="32"/>
          <w:lang w:val="en-US" w:eastAsia="zh-CN"/>
        </w:rPr>
        <w:t>教育学、心理学及语言教学基础知识</w:t>
      </w:r>
    </w:p>
    <w:p w14:paraId="25CB9C8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334" w:firstLineChars="100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7"/>
          <w:sz w:val="32"/>
          <w:szCs w:val="32"/>
          <w:lang w:val="en-US" w:eastAsia="zh-CN"/>
        </w:rPr>
        <w:t>1.教育学基础知识</w:t>
      </w:r>
    </w:p>
    <w:p w14:paraId="25938F5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40" w:lineRule="exact"/>
        <w:ind w:left="-360" w:leftChars="0" w:right="0" w:rightChars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color w:val="0D0D0D"/>
          <w:kern w:val="0"/>
          <w:sz w:val="32"/>
          <w:szCs w:val="32"/>
          <w:shd w:val="clear" w:fill="FFFFFF"/>
          <w:lang w:val="en-US"/>
        </w:rPr>
      </w:pPr>
      <w:r>
        <w:rPr>
          <w:rFonts w:hint="eastAsia" w:ascii="仿宋_GB2312" w:hAnsi="仿宋_GB2312" w:eastAsia="仿宋_GB2312" w:cs="仿宋_GB2312"/>
          <w:b w:val="0"/>
          <w:bCs/>
          <w:snapToGrid w:val="0"/>
          <w:color w:val="000000"/>
          <w:kern w:val="0"/>
          <w:sz w:val="32"/>
          <w:szCs w:val="32"/>
          <w:shd w:val="clear" w:fill="FFFFFF"/>
          <w:lang w:val="en-US" w:eastAsia="zh-CN" w:bidi="ar"/>
        </w:rPr>
        <w:t>（1）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shd w:val="clear" w:fill="FFFFFF"/>
          <w:lang w:val="en-US" w:eastAsia="zh-CN" w:bidi="ar"/>
        </w:rPr>
        <w:t>教育目标与原则：理解语言教育中“工具性目标”与“人文性目标”的统一，掌握系统性、实践性、趣味性等教学原则，结合汉语水平设计分层教学目标。</w:t>
      </w:r>
    </w:p>
    <w:p w14:paraId="58C24E3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40" w:lineRule="exact"/>
        <w:ind w:left="-360" w:leftChars="0" w:right="0" w:rightChars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color w:val="0D0D0D"/>
          <w:kern w:val="0"/>
          <w:sz w:val="32"/>
          <w:szCs w:val="32"/>
          <w:shd w:val="clear" w:fill="FFFFFF"/>
          <w:lang w:val="en-US"/>
        </w:rPr>
      </w:pPr>
      <w:r>
        <w:rPr>
          <w:rFonts w:hint="eastAsia" w:ascii="仿宋_GB2312" w:hAnsi="仿宋_GB2312" w:eastAsia="仿宋_GB2312" w:cs="仿宋_GB2312"/>
          <w:b w:val="0"/>
          <w:bCs/>
          <w:snapToGrid w:val="0"/>
          <w:color w:val="000000"/>
          <w:kern w:val="0"/>
          <w:sz w:val="32"/>
          <w:szCs w:val="32"/>
          <w:shd w:val="clear" w:fill="FFFFFF"/>
          <w:lang w:val="en-US" w:eastAsia="zh-CN" w:bidi="ar"/>
        </w:rPr>
        <w:t>（2）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shd w:val="clear" w:fill="FFFFFF"/>
          <w:lang w:val="en-US" w:eastAsia="zh-CN" w:bidi="ar"/>
        </w:rPr>
        <w:t>课程设计与评估：分析课程设计要素的关联性，掌握任务型课程与模块化课程的设计方法，结合形成性评估与终结性评估优化教学流程。</w:t>
      </w:r>
    </w:p>
    <w:p w14:paraId="0652BBBD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40" w:lineRule="exact"/>
        <w:ind w:left="-360" w:leftChars="0" w:right="0" w:rightChars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snapToGrid w:val="0"/>
          <w:color w:val="000000"/>
          <w:kern w:val="0"/>
          <w:sz w:val="32"/>
          <w:szCs w:val="32"/>
          <w:shd w:val="clear" w:fill="FFFFFF"/>
          <w:lang w:val="en-US" w:eastAsia="zh-CN" w:bidi="ar"/>
        </w:rPr>
        <w:t>（3）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shd w:val="clear" w:fill="FFFFFF"/>
          <w:lang w:val="en-US" w:eastAsia="zh-CN" w:bidi="ar"/>
        </w:rPr>
        <w:t>教育技术应用：理解多媒体、在线平台对教学效率的提升作用，分析如何利用实物教具、文化体验活动增强课堂沉浸感。</w:t>
      </w:r>
    </w:p>
    <w:p w14:paraId="129C59B7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firstLine="334" w:firstLineChars="100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7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7"/>
          <w:sz w:val="32"/>
          <w:szCs w:val="32"/>
          <w:lang w:val="en-US" w:eastAsia="zh-CN"/>
        </w:rPr>
        <w:t>2.心理学基础知识</w:t>
      </w:r>
    </w:p>
    <w:p w14:paraId="143410A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40" w:lineRule="exact"/>
        <w:ind w:left="-360" w:leftChars="0" w:right="0" w:rightChars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color w:val="0D0D0D"/>
          <w:kern w:val="0"/>
          <w:sz w:val="32"/>
          <w:szCs w:val="32"/>
          <w:shd w:val="clear" w:fill="FFFFFF"/>
          <w:lang w:val="en-US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shd w:val="clear" w:fill="FFFFFF"/>
          <w:lang w:val="en-US" w:eastAsia="zh-CN" w:bidi="ar"/>
        </w:rPr>
        <w:t>（1）习得理论与过程：掌握克拉申“输入假说”与Swain“输出假说”的互补性，分析关键期假说对汉语教学的启示，结合习得顺序设计针对性练习。</w:t>
      </w:r>
    </w:p>
    <w:p w14:paraId="05337CC7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40" w:lineRule="exact"/>
        <w:ind w:left="-360" w:leftChars="0" w:right="0" w:rightChars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color w:val="0D0D0D"/>
          <w:kern w:val="0"/>
          <w:sz w:val="32"/>
          <w:szCs w:val="32"/>
          <w:shd w:val="clear" w:fill="FFFFFF"/>
          <w:lang w:val="en-US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shd w:val="clear" w:fill="FFFFFF"/>
          <w:lang w:val="en-US" w:eastAsia="zh-CN" w:bidi="ar"/>
        </w:rPr>
        <w:t>（2）学习者个体差异：区分融合型动机与工具型动机对学习持久性的影响，分析年龄、性格对课堂参与度的制约，提出差异化教学策略。</w:t>
      </w:r>
    </w:p>
    <w:p w14:paraId="50220F7B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40" w:lineRule="exact"/>
        <w:ind w:left="-360" w:leftChars="0" w:right="0" w:rightChars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shd w:val="clear" w:fill="FFFFFF"/>
          <w:lang w:val="en-US" w:eastAsia="zh-CN" w:bidi="ar"/>
        </w:rPr>
        <w:t xml:space="preserve">（3）习得环境与互动：理解课堂互动对语言输出的促进作用，结合交际法设计真实语境，分析社会文化环境对习得效率的影响。  </w:t>
      </w:r>
    </w:p>
    <w:p w14:paraId="388046F5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40" w:lineRule="exact"/>
        <w:ind w:left="-360" w:leftChars="0" w:right="0" w:rightChars="0" w:firstLine="668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pacing w:val="7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b w:val="0"/>
          <w:bCs w:val="0"/>
          <w:spacing w:val="7"/>
          <w:sz w:val="32"/>
          <w:szCs w:val="32"/>
          <w:lang w:val="en-US" w:eastAsia="zh-CN"/>
        </w:rPr>
        <w:t>3.</w:t>
      </w:r>
      <w:r>
        <w:rPr>
          <w:rFonts w:hint="eastAsia" w:ascii="仿宋_GB2312" w:hAnsi="仿宋_GB2312" w:eastAsia="仿宋_GB2312" w:cs="仿宋_GB2312"/>
          <w:b w:val="0"/>
          <w:bCs w:val="0"/>
          <w:spacing w:val="2"/>
          <w:sz w:val="32"/>
          <w:szCs w:val="32"/>
          <w:lang w:val="en-US" w:eastAsia="zh-CN"/>
        </w:rPr>
        <w:t>语言教学基础知识</w:t>
      </w:r>
    </w:p>
    <w:p w14:paraId="40447BF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40" w:lineRule="exact"/>
        <w:ind w:left="-360" w:leftChars="0" w:right="0" w:rightChars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color w:val="0D0D0D"/>
          <w:kern w:val="0"/>
          <w:sz w:val="32"/>
          <w:szCs w:val="32"/>
          <w:shd w:val="clear" w:fill="FFFFFF"/>
          <w:lang w:val="en-US"/>
        </w:rPr>
      </w:pPr>
      <w:r>
        <w:rPr>
          <w:rFonts w:hint="eastAsia" w:ascii="仿宋_GB2312" w:hAnsi="仿宋_GB2312" w:eastAsia="仿宋_GB2312" w:cs="仿宋_GB2312"/>
          <w:b w:val="0"/>
          <w:bCs/>
          <w:snapToGrid w:val="0"/>
          <w:color w:val="000000"/>
          <w:kern w:val="0"/>
          <w:sz w:val="32"/>
          <w:szCs w:val="32"/>
          <w:shd w:val="clear" w:fill="FFFFFF"/>
          <w:lang w:val="en-US" w:eastAsia="zh-CN" w:bidi="ar"/>
        </w:rPr>
        <w:t>（1）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shd w:val="clear" w:fill="FFFFFF"/>
          <w:lang w:val="en-US" w:eastAsia="zh-CN" w:bidi="ar"/>
        </w:rPr>
        <w:t>语言要素教学：掌握语音教学重点、词汇教学方法、语法教学策略，分析汉字教学难点及突破方法。</w:t>
      </w:r>
    </w:p>
    <w:p w14:paraId="283B9749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40" w:lineRule="exact"/>
        <w:ind w:left="-360" w:leftChars="0" w:right="0" w:rightChars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snapToGrid w:val="0"/>
          <w:color w:val="000000"/>
          <w:kern w:val="0"/>
          <w:sz w:val="32"/>
          <w:szCs w:val="32"/>
          <w:shd w:val="clear" w:fill="FFFFFF"/>
          <w:lang w:val="en-US" w:eastAsia="zh-CN" w:bidi="ar"/>
        </w:rPr>
        <w:t>（2）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shd w:val="clear" w:fill="FFFFFF"/>
          <w:lang w:val="en-US" w:eastAsia="zh-CN" w:bidi="ar"/>
        </w:rPr>
        <w:t>技能培养与活动设计：设计听说读写专项训练，结合任务型活动提升综合运用能力，分析游戏化教学对低龄学习者的适用性。</w:t>
      </w:r>
    </w:p>
    <w:p w14:paraId="2D00B704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shd w:val="clear" w:fill="FFFFFF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40" w:lineRule="exact"/>
        <w:ind w:left="-360" w:leftChars="0" w:right="0" w:rightChars="0" w:firstLine="640" w:firstLineChars="200"/>
        <w:jc w:val="left"/>
        <w:textAlignment w:val="baseline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b w:val="0"/>
          <w:bCs/>
          <w:snapToGrid w:val="0"/>
          <w:color w:val="000000"/>
          <w:kern w:val="0"/>
          <w:sz w:val="32"/>
          <w:szCs w:val="32"/>
          <w:shd w:val="clear" w:fill="FFFFFF"/>
          <w:lang w:val="en-US" w:eastAsia="zh-CN" w:bidi="ar"/>
        </w:rPr>
        <w:t>（3）</w:t>
      </w:r>
      <w:r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shd w:val="clear" w:fill="FFFFFF"/>
          <w:lang w:val="en-US" w:eastAsia="zh-CN" w:bidi="ar"/>
        </w:rPr>
        <w:t>跨文化交际教学：理解文化教学与语言教学的融合原则，设计文化对比环节，通过文化体验活动培养学习者的跨文化适应能力。</w:t>
      </w:r>
    </w:p>
    <w:p w14:paraId="74C46A03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textAlignment w:val="baseline"/>
        <w:rPr>
          <w:rFonts w:hint="eastAsia" w:ascii="仿宋_GB2312" w:hAnsi="仿宋_GB2312" w:eastAsia="仿宋_GB2312" w:cs="仿宋_GB2312"/>
          <w:b/>
          <w:bCs/>
          <w:spacing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/>
          <w:bCs/>
          <w:spacing w:val="2"/>
          <w:sz w:val="32"/>
          <w:szCs w:val="32"/>
          <w:lang w:val="en-US" w:eastAsia="zh-CN"/>
        </w:rPr>
        <w:t>（三）案例分析与写作部分</w:t>
      </w:r>
    </w:p>
    <w:p w14:paraId="760B93F1">
      <w:pPr>
        <w:pStyle w:val="2"/>
        <w:spacing w:line="560" w:lineRule="exact"/>
        <w:ind w:left="457"/>
        <w:rPr>
          <w:rFonts w:hint="default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  <w:t>1.结合案例阐述观点，进行问题诊断；</w:t>
      </w:r>
    </w:p>
    <w:p w14:paraId="7E6D6888">
      <w:pPr>
        <w:pStyle w:val="2"/>
        <w:spacing w:line="560" w:lineRule="exact"/>
        <w:ind w:left="457"/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  <w:t>2.</w:t>
      </w:r>
      <w:r>
        <w:rPr>
          <w:rFonts w:hint="default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  <w:t>精准定位案例核心矛盾，贴合国际中文教学实际</w:t>
      </w: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  <w:t>；</w:t>
      </w:r>
    </w:p>
    <w:p w14:paraId="0948A2C1">
      <w:pPr>
        <w:pStyle w:val="2"/>
        <w:spacing w:line="560" w:lineRule="exact"/>
        <w:ind w:left="457"/>
        <w:rPr>
          <w:rFonts w:hint="eastAsia" w:ascii="仿宋_GB2312" w:hAnsi="仿宋_GB2312" w:eastAsia="仿宋_GB2312" w:cs="仿宋_GB2312"/>
          <w:b w:val="0"/>
          <w:bCs w:val="0"/>
          <w:snapToGrid w:val="0"/>
          <w:color w:val="000000"/>
          <w:kern w:val="0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color w:val="auto"/>
          <w:spacing w:val="2"/>
          <w:sz w:val="32"/>
          <w:szCs w:val="32"/>
          <w:lang w:val="en-US" w:eastAsia="zh-CN"/>
        </w:rPr>
        <w:t>3.结构逻辑清晰，提出解决对策。</w:t>
      </w:r>
    </w:p>
    <w:p w14:paraId="482CFD3B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textAlignment w:val="baseline"/>
        <w:rPr>
          <w:rFonts w:ascii="黑体" w:hAnsi="黑体" w:eastAsia="黑体" w:cs="仿宋_GB2312"/>
          <w:bCs/>
          <w:spacing w:val="7"/>
          <w:sz w:val="32"/>
          <w:szCs w:val="32"/>
          <w:lang w:eastAsia="zh-CN"/>
        </w:rPr>
      </w:pPr>
      <w:r>
        <w:rPr>
          <w:rFonts w:hint="eastAsia" w:ascii="黑体" w:hAnsi="黑体" w:eastAsia="黑体" w:cs="仿宋_GB2312"/>
          <w:bCs/>
          <w:spacing w:val="7"/>
          <w:sz w:val="32"/>
          <w:szCs w:val="32"/>
          <w:lang w:eastAsia="zh-CN"/>
        </w:rPr>
        <w:t>四、参考书目</w:t>
      </w:r>
    </w:p>
    <w:p w14:paraId="2E5C7846">
      <w:pPr>
        <w:keepNext w:val="0"/>
        <w:keepLines w:val="0"/>
        <w:pageBreakBefore w:val="0"/>
        <w:widowControl w:val="0"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40" w:lineRule="exact"/>
        <w:ind w:right="0" w:firstLine="66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  <w:t>[1]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2"/>
          <w:sz w:val="32"/>
          <w:szCs w:val="32"/>
          <w:shd w:val="clear" w:fill="FFFFFF"/>
          <w:lang w:val="en-US" w:eastAsia="zh-CN" w:bidi="ar"/>
        </w:rPr>
        <w:t>《中华人文精神读本》，主编：钟英华、杨薇、温象羽，王锡三编著，商务印书馆，2021年版。</w:t>
      </w:r>
    </w:p>
    <w:p w14:paraId="4B5C6FCC">
      <w:pPr>
        <w:keepNext w:val="0"/>
        <w:keepLines w:val="0"/>
        <w:pageBreakBefore w:val="0"/>
        <w:widowControl w:val="0"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40" w:lineRule="exact"/>
        <w:ind w:left="0" w:right="0" w:firstLine="660" w:firstLineChars="200"/>
        <w:jc w:val="left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kern w:val="2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  <w:t>[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  <w:t>2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  <w:t>]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2"/>
          <w:sz w:val="32"/>
          <w:szCs w:val="32"/>
          <w:shd w:val="clear" w:fill="FFFFFF"/>
          <w:lang w:val="en-US" w:eastAsia="zh-CN" w:bidi="ar"/>
        </w:rPr>
        <w:t>《中国文化要略》，程裕祯著，外语教学与研究出版社，201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2"/>
          <w:sz w:val="32"/>
          <w:szCs w:val="32"/>
          <w:highlight w:val="none"/>
          <w:shd w:val="clear" w:fill="FFFFFF"/>
          <w:lang w:val="en-US" w:eastAsia="zh-CN" w:bidi="ar"/>
        </w:rPr>
        <w:t>8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2"/>
          <w:sz w:val="32"/>
          <w:szCs w:val="32"/>
          <w:shd w:val="clear" w:fill="FFFFFF"/>
          <w:lang w:val="en-US" w:eastAsia="zh-CN" w:bidi="ar"/>
        </w:rPr>
        <w:t>年版。</w:t>
      </w:r>
    </w:p>
    <w:p w14:paraId="01E0A387">
      <w:pPr>
        <w:keepNext w:val="0"/>
        <w:keepLines w:val="0"/>
        <w:pageBreakBefore w:val="0"/>
        <w:widowControl w:val="0"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40" w:lineRule="exact"/>
        <w:ind w:left="0" w:right="0" w:firstLine="660" w:firstLineChars="200"/>
        <w:jc w:val="left"/>
        <w:textAlignment w:val="baseline"/>
        <w:rPr>
          <w:rFonts w:hint="eastAsia" w:ascii="仿宋_GB2312" w:hAnsi="仿宋_GB2312" w:eastAsia="仿宋_GB2312" w:cs="仿宋_GB2312"/>
          <w:snapToGrid w:val="0"/>
          <w:color w:val="000000"/>
          <w:kern w:val="2"/>
          <w:sz w:val="32"/>
          <w:szCs w:val="32"/>
          <w:shd w:val="clear" w:fill="FFFFFF"/>
          <w:lang w:val="en-US" w:eastAsia="zh-CN" w:bidi="ar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  <w:t>[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  <w:t>3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  <w:t>]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2"/>
          <w:sz w:val="32"/>
          <w:szCs w:val="32"/>
          <w:shd w:val="clear" w:fill="FFFFFF"/>
          <w:lang w:val="en-US" w:eastAsia="zh-CN" w:bidi="ar"/>
        </w:rPr>
        <w:t>《第二语言习得研究》，主编：王建勤，商务印书馆，2009年版。</w:t>
      </w:r>
    </w:p>
    <w:p w14:paraId="1CD9C96D">
      <w:pPr>
        <w:keepNext w:val="0"/>
        <w:keepLines w:val="0"/>
        <w:pageBreakBefore w:val="0"/>
        <w:widowControl w:val="0"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40" w:lineRule="exact"/>
        <w:ind w:left="0" w:right="0" w:firstLine="66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  <w:t>[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  <w:t>4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  <w:t>]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2"/>
          <w:sz w:val="32"/>
          <w:szCs w:val="32"/>
          <w:shd w:val="clear" w:fill="FFFFFF"/>
          <w:lang w:val="en-US" w:eastAsia="zh-CN" w:bidi="ar"/>
        </w:rPr>
        <w:t>《当代教育心理学》，主编：陈琦、刘儒德，北京</w:t>
      </w:r>
      <w:bookmarkStart w:id="0" w:name="_GoBack"/>
      <w:r>
        <w:rPr>
          <w:rFonts w:hint="eastAsia" w:ascii="仿宋_GB2312" w:hAnsi="仿宋_GB2312" w:eastAsia="仿宋_GB2312" w:cs="仿宋_GB2312"/>
          <w:snapToGrid w:val="0"/>
          <w:color w:val="000000"/>
          <w:kern w:val="2"/>
          <w:sz w:val="32"/>
          <w:szCs w:val="32"/>
          <w:shd w:val="clear" w:fill="FFFFFF"/>
          <w:lang w:val="en-US" w:eastAsia="zh-CN" w:bidi="ar"/>
        </w:rPr>
        <w:t>师范</w:t>
      </w:r>
      <w:bookmarkEnd w:id="0"/>
      <w:r>
        <w:rPr>
          <w:rFonts w:hint="eastAsia" w:ascii="仿宋_GB2312" w:hAnsi="仿宋_GB2312" w:eastAsia="仿宋_GB2312" w:cs="仿宋_GB2312"/>
          <w:snapToGrid w:val="0"/>
          <w:color w:val="000000"/>
          <w:kern w:val="2"/>
          <w:sz w:val="32"/>
          <w:szCs w:val="32"/>
          <w:shd w:val="clear" w:fill="FFFFFF"/>
          <w:lang w:val="en-US" w:eastAsia="zh-CN" w:bidi="ar"/>
        </w:rPr>
        <w:t>大学出版社，2007年版。</w:t>
      </w:r>
    </w:p>
    <w:p w14:paraId="6E60A57C">
      <w:pPr>
        <w:keepNext w:val="0"/>
        <w:keepLines w:val="0"/>
        <w:pageBreakBefore w:val="0"/>
        <w:widowControl w:val="0"/>
        <w:suppressLineNumbers w:val="0"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before="0" w:beforeAutospacing="0" w:after="0" w:afterAutospacing="0" w:line="540" w:lineRule="exact"/>
        <w:ind w:left="0" w:right="0" w:firstLine="66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  <w:shd w:val="clear" w:fill="FFFFFF"/>
          <w:lang w:val="en-US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  <w:t>[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  <w:t>5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  <w:t>]</w:t>
      </w:r>
      <w:r>
        <w:rPr>
          <w:rFonts w:hint="eastAsia" w:ascii="仿宋_GB2312" w:hAnsi="仿宋_GB2312" w:eastAsia="仿宋_GB2312" w:cs="仿宋_GB2312"/>
          <w:snapToGrid w:val="0"/>
          <w:color w:val="000000"/>
          <w:kern w:val="2"/>
          <w:sz w:val="32"/>
          <w:szCs w:val="32"/>
          <w:shd w:val="clear" w:fill="FFFFFF"/>
          <w:lang w:val="en-US" w:eastAsia="zh-CN" w:bidi="ar"/>
        </w:rPr>
        <w:t>《语言教学原理》，盛炎著，重庆出版社，2006年版。</w:t>
      </w:r>
    </w:p>
    <w:p w14:paraId="6C356A7E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24" w:firstLine="66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  <w:t>[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  <w:t>6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  <w:t>]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《对外汉语教学概论》(修订版)，赵金铭 主编，商务印书馆，2023年版。</w:t>
      </w:r>
    </w:p>
    <w:p w14:paraId="5DD14860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24" w:firstLine="66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  <w:t>[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  <w:t>7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  <w:t>]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《对外汉语教学发展史(上编)》，吕必松，北京语言大学出版社，2017年版。</w:t>
      </w:r>
    </w:p>
    <w:p w14:paraId="6DACA2A4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24" w:firstLine="66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  <w:t>[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  <w:t>8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  <w:t>]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《对外汉语教学发展史(上编)》，周小兵等，北京语言大学出版社，2025年版。</w:t>
      </w:r>
    </w:p>
    <w:p w14:paraId="7617F76C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24" w:firstLine="66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  <w:t>[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  <w:t>9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  <w:t>]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《对外汉语教学发展史(下编)》，周小兵等，北京语言大学出版社，2025年版。</w:t>
      </w:r>
    </w:p>
    <w:p w14:paraId="084C1738">
      <w:pPr>
        <w:pStyle w:val="2"/>
        <w:keepNext w:val="0"/>
        <w:keepLines w:val="0"/>
        <w:pageBreakBefore w:val="0"/>
        <w:widowControl/>
        <w:kinsoku w:val="0"/>
        <w:wordWrap/>
        <w:overflowPunct/>
        <w:topLinePunct w:val="0"/>
        <w:autoSpaceDE w:val="0"/>
        <w:autoSpaceDN w:val="0"/>
        <w:bidi w:val="0"/>
        <w:adjustRightInd w:val="0"/>
        <w:snapToGrid w:val="0"/>
        <w:spacing w:line="540" w:lineRule="exact"/>
        <w:ind w:left="24" w:firstLine="660" w:firstLineChars="200"/>
        <w:jc w:val="left"/>
        <w:textAlignment w:val="baseline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  <w:t>[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val="en-US" w:eastAsia="zh-CN"/>
        </w:rPr>
        <w:t>10</w:t>
      </w:r>
      <w:r>
        <w:rPr>
          <w:rFonts w:hint="eastAsia" w:ascii="仿宋_GB2312" w:hAnsi="仿宋_GB2312" w:eastAsia="仿宋_GB2312" w:cs="仿宋_GB2312"/>
          <w:spacing w:val="5"/>
          <w:sz w:val="32"/>
          <w:szCs w:val="32"/>
          <w:lang w:eastAsia="zh-CN"/>
        </w:rPr>
        <w:t>]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《跨文化交际》祖晓梅著，外语教学与研究出版社，2015年版。</w:t>
      </w:r>
    </w:p>
    <w:sectPr>
      <w:footerReference r:id="rId3" w:type="default"/>
      <w:pgSz w:w="11906" w:h="16839"/>
      <w:pgMar w:top="2098" w:right="1474" w:bottom="1984" w:left="1587" w:header="0" w:footer="0" w:gutter="0"/>
      <w:cols w:space="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E1F5A60E-611A-46A0-A11A-12C6196E48E9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D9698635-9A73-4795-B3FB-37950CD82C4A}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3" w:fontKey="{DF5FBE34-3114-41B4-A093-D156732009A3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4" w:fontKey="{12F78466-C1F7-44FD-8903-A59028C7E2C2}"/>
  </w:font>
  <w:font w:name="WPSEMBED6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C314AF5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2034FBD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2034FBD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view w:val="normal"/>
  <w:zoom w:percent="70"/>
  <w:displayBackgroundShape w:val="1"/>
  <w:embedTrueTypeFonts/>
  <w:saveSubsetFonts/>
  <w:bordersDoNotSurroundHeader w:val="1"/>
  <w:bordersDoNotSurroundFooter w:val="1"/>
  <w:documentProtection w:enforcement="0"/>
  <w:defaultTabStop w:val="420"/>
  <w:displayHorizontalDrawingGridEvery w:val="0"/>
  <w:displayVerticalDrawingGridEvery w:val="2"/>
  <w:characterSpacingControl w:val="doNotCompress"/>
  <w:compat>
    <w:spaceForUL/>
    <w:balanceSingleByteDoubleByteWidth/>
    <w:ulTrailSpace/>
    <w:doNotExpandShiftReturn/>
    <w:adjustLineHeightInTable/>
    <w:useFELayout/>
    <w:doNotUseIndentAsNumberingTabStop/>
    <w:useAltKinsokuLineBreakRules/>
    <w:compatSetting w:name="compatibilityMode" w:uri="http://schemas.microsoft.com/office/word" w:val="14"/>
  </w:compat>
  <w:rsids>
    <w:rsidRoot w:val="00DF7A75"/>
    <w:rsid w:val="007A1B2A"/>
    <w:rsid w:val="00C054BC"/>
    <w:rsid w:val="00DF7A75"/>
    <w:rsid w:val="00E4669D"/>
    <w:rsid w:val="00E9212A"/>
    <w:rsid w:val="042B56CB"/>
    <w:rsid w:val="05F36380"/>
    <w:rsid w:val="074114A8"/>
    <w:rsid w:val="07475304"/>
    <w:rsid w:val="08303880"/>
    <w:rsid w:val="0B41180A"/>
    <w:rsid w:val="0D257206"/>
    <w:rsid w:val="0E6A6250"/>
    <w:rsid w:val="0F2F4121"/>
    <w:rsid w:val="12952C49"/>
    <w:rsid w:val="13DD2B61"/>
    <w:rsid w:val="14BE1EB5"/>
    <w:rsid w:val="15C745B4"/>
    <w:rsid w:val="161836B5"/>
    <w:rsid w:val="16ED0036"/>
    <w:rsid w:val="172C5136"/>
    <w:rsid w:val="17443DCB"/>
    <w:rsid w:val="18D6374B"/>
    <w:rsid w:val="1B4154E5"/>
    <w:rsid w:val="1D0C10EE"/>
    <w:rsid w:val="1E301B96"/>
    <w:rsid w:val="1F5B6836"/>
    <w:rsid w:val="20677142"/>
    <w:rsid w:val="20AD47BC"/>
    <w:rsid w:val="21BA4C85"/>
    <w:rsid w:val="223A6AE7"/>
    <w:rsid w:val="238304DF"/>
    <w:rsid w:val="23CD0C66"/>
    <w:rsid w:val="23E27716"/>
    <w:rsid w:val="26AF5288"/>
    <w:rsid w:val="29F044A4"/>
    <w:rsid w:val="2B772EC8"/>
    <w:rsid w:val="2BB00D55"/>
    <w:rsid w:val="2CBE194C"/>
    <w:rsid w:val="2DE51ED2"/>
    <w:rsid w:val="2EB02B9C"/>
    <w:rsid w:val="30427F26"/>
    <w:rsid w:val="30793DCE"/>
    <w:rsid w:val="326C2928"/>
    <w:rsid w:val="35116145"/>
    <w:rsid w:val="3B9620B5"/>
    <w:rsid w:val="3C833821"/>
    <w:rsid w:val="3C8473F6"/>
    <w:rsid w:val="3DD303A8"/>
    <w:rsid w:val="3EEF4789"/>
    <w:rsid w:val="43A1057B"/>
    <w:rsid w:val="457238D9"/>
    <w:rsid w:val="45B96A47"/>
    <w:rsid w:val="465C53F4"/>
    <w:rsid w:val="47517876"/>
    <w:rsid w:val="4789688D"/>
    <w:rsid w:val="499B7BD8"/>
    <w:rsid w:val="4B5354B1"/>
    <w:rsid w:val="4C824D52"/>
    <w:rsid w:val="4F18799C"/>
    <w:rsid w:val="53FE7A3C"/>
    <w:rsid w:val="57E720A3"/>
    <w:rsid w:val="5B327088"/>
    <w:rsid w:val="5B735950"/>
    <w:rsid w:val="62087B33"/>
    <w:rsid w:val="641857F1"/>
    <w:rsid w:val="67456181"/>
    <w:rsid w:val="677E1BB2"/>
    <w:rsid w:val="6BC44749"/>
    <w:rsid w:val="6C985B86"/>
    <w:rsid w:val="6CBD2841"/>
    <w:rsid w:val="6F641D36"/>
    <w:rsid w:val="725E3A65"/>
    <w:rsid w:val="74D61307"/>
    <w:rsid w:val="75FF7433"/>
    <w:rsid w:val="76CF0358"/>
    <w:rsid w:val="777E6455"/>
    <w:rsid w:val="78485102"/>
    <w:rsid w:val="7B2966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textAlignment w:val="baseline"/>
    </w:pPr>
    <w:rPr>
      <w:rFonts w:ascii="Arial" w:hAnsi="Arial" w:eastAsia="Arial" w:cs="Arial"/>
      <w:snapToGrid w:val="0"/>
      <w:color w:val="000000"/>
      <w:sz w:val="21"/>
      <w:szCs w:val="21"/>
      <w:lang w:val="en-US" w:eastAsia="en-US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pPr>
      <w:keepNext w:val="0"/>
      <w:keepLines w:val="0"/>
      <w:widowControl/>
      <w:suppressLineNumbers w:val="0"/>
      <w:spacing w:before="0" w:beforeAutospacing="0" w:after="0" w:afterAutospacing="0"/>
      <w:ind w:left="0" w:right="0"/>
    </w:pPr>
    <w:rPr>
      <w:rFonts w:hint="default" w:ascii="Calibri" w:hAnsi="Calibri" w:eastAsia="宋体" w:cs="Times New Roman"/>
      <w:kern w:val="2"/>
      <w:sz w:val="21"/>
      <w:szCs w:val="22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宋体" w:hAnsi="宋体" w:eastAsia="宋体" w:cs="宋体"/>
      <w:sz w:val="20"/>
      <w:szCs w:val="20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</w:pPr>
    <w:rPr>
      <w:sz w:val="18"/>
    </w:rPr>
  </w:style>
  <w:style w:type="paragraph" w:styleId="4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jc w:val="both"/>
    </w:pPr>
    <w:rPr>
      <w:sz w:val="18"/>
    </w:rPr>
  </w:style>
  <w:style w:type="character" w:styleId="7">
    <w:name w:val="Strong"/>
    <w:basedOn w:val="6"/>
    <w:qFormat/>
    <w:uiPriority w:val="0"/>
    <w:rPr>
      <w:b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2281</Words>
  <Characters>2369</Characters>
  <Lines>2</Lines>
  <Paragraphs>1</Paragraphs>
  <TotalTime>3</TotalTime>
  <ScaleCrop>false</ScaleCrop>
  <LinksUpToDate>false</LinksUpToDate>
  <CharactersWithSpaces>2374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2024-09-27T16:08:00Z</dcterms:created>
  <dc:creator>10080</dc:creator>
  <cp:lastModifiedBy>作者</cp:lastModifiedBy>
  <cp:lastPrinted>2025-09-29T02:39:00Z</cp:lastPrinted>
  <dcterms:modified xsi:type="dcterms:W3CDTF">2026-07-14T03:56:01Z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2025-06-26T10:05:28Z</vt:filetime>
  </property>
  <property fmtid="{D5CDD505-2E9C-101B-9397-08002B2CF9AE}" pid="4" name="KSOTemplateDocerSaveRecord">
    <vt:lpwstr>eyJoZGlkIjoiOGU3YTU3NGZkNTA1ODNhYjc1N2E1ODM0ZjZlOTI0YjIiLCJ1c2VySWQiOiI5MzQwMDM3NjUifQ==</vt:lpwstr>
  </property>
  <property fmtid="{D5CDD505-2E9C-101B-9397-08002B2CF9AE}" pid="5" name="KSOProductBuildVer">
    <vt:lpwstr>2052-12.1.0.26895</vt:lpwstr>
  </property>
  <property fmtid="{D5CDD505-2E9C-101B-9397-08002B2CF9AE}" pid="6" name="ICV">
    <vt:lpwstr>95034DBC72914139B4D61BC8DD639876_13</vt:lpwstr>
  </property>
</Properties>
</file>